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C8" w:rsidRDefault="007908C8" w:rsidP="0084379D">
      <w:pPr>
        <w:shd w:val="clear" w:color="auto" w:fill="FFFFFF"/>
        <w:spacing w:before="100" w:beforeAutospacing="1" w:after="100" w:afterAutospacing="1" w:line="240" w:lineRule="auto"/>
        <w:rPr>
          <w:rFonts w:ascii="Tahoma" w:eastAsia="Times New Roman" w:hAnsi="Tahoma" w:cs="Tahoma"/>
          <w:b/>
          <w:bCs/>
          <w:color w:val="333333"/>
          <w:sz w:val="20"/>
          <w:szCs w:val="20"/>
          <w:lang w:eastAsia="fr-FR"/>
        </w:rPr>
      </w:pPr>
      <w:r>
        <w:rPr>
          <w:rFonts w:ascii="Tahoma" w:eastAsia="Times New Roman" w:hAnsi="Tahoma" w:cs="Tahoma"/>
          <w:b/>
          <w:bCs/>
          <w:color w:val="333333"/>
          <w:sz w:val="20"/>
          <w:szCs w:val="20"/>
          <w:lang w:eastAsia="fr-FR"/>
        </w:rPr>
        <w:t>20 janvier 2014</w:t>
      </w:r>
    </w:p>
    <w:p w:rsidR="007908C8" w:rsidRDefault="007908C8" w:rsidP="0084379D">
      <w:pPr>
        <w:shd w:val="clear" w:color="auto" w:fill="FFFFFF"/>
        <w:spacing w:before="100" w:beforeAutospacing="1" w:after="100" w:afterAutospacing="1" w:line="240" w:lineRule="auto"/>
        <w:rPr>
          <w:rFonts w:ascii="Tahoma" w:eastAsia="Times New Roman" w:hAnsi="Tahoma" w:cs="Tahoma"/>
          <w:b/>
          <w:bCs/>
          <w:color w:val="333333"/>
          <w:sz w:val="20"/>
          <w:szCs w:val="20"/>
          <w:lang w:eastAsia="fr-FR"/>
        </w:rPr>
      </w:pPr>
    </w:p>
    <w:p w:rsidR="0084379D" w:rsidRPr="0084379D" w:rsidRDefault="0084379D" w:rsidP="0084379D">
      <w:pPr>
        <w:shd w:val="clear" w:color="auto" w:fill="FFFFFF"/>
        <w:spacing w:before="100" w:beforeAutospacing="1" w:after="100" w:afterAutospacing="1" w:line="240" w:lineRule="auto"/>
        <w:rPr>
          <w:rFonts w:ascii="Tahoma" w:eastAsia="Times New Roman" w:hAnsi="Tahoma" w:cs="Tahoma"/>
          <w:color w:val="333333"/>
          <w:sz w:val="20"/>
          <w:szCs w:val="20"/>
          <w:lang w:eastAsia="fr-FR"/>
        </w:rPr>
      </w:pPr>
      <w:r w:rsidRPr="0084379D">
        <w:rPr>
          <w:rFonts w:ascii="Tahoma" w:eastAsia="Times New Roman" w:hAnsi="Tahoma" w:cs="Tahoma"/>
          <w:b/>
          <w:bCs/>
          <w:color w:val="333333"/>
          <w:sz w:val="20"/>
          <w:szCs w:val="20"/>
          <w:lang w:eastAsia="fr-FR"/>
        </w:rPr>
        <w:t>L’</w:t>
      </w:r>
      <w:hyperlink r:id="rId6" w:tooltip="EFSA" w:history="1">
        <w:r w:rsidRPr="0084379D">
          <w:rPr>
            <w:rFonts w:ascii="Tahoma" w:eastAsia="Times New Roman" w:hAnsi="Tahoma" w:cs="Tahoma"/>
            <w:b/>
            <w:bCs/>
            <w:color w:val="525252"/>
            <w:sz w:val="20"/>
            <w:szCs w:val="20"/>
            <w:lang w:eastAsia="fr-FR"/>
          </w:rPr>
          <w:t>EFSA</w:t>
        </w:r>
      </w:hyperlink>
      <w:r w:rsidRPr="0084379D">
        <w:rPr>
          <w:rFonts w:ascii="Tahoma" w:eastAsia="Times New Roman" w:hAnsi="Tahoma" w:cs="Tahoma"/>
          <w:b/>
          <w:bCs/>
          <w:color w:val="333333"/>
          <w:sz w:val="20"/>
          <w:szCs w:val="20"/>
          <w:lang w:eastAsia="fr-FR"/>
        </w:rPr>
        <w:t xml:space="preserve"> vient de réviser à la baisse la dose journalière admissible (DJA) du bisphénol A (BPA). A l’occasion du lancement d’une consultation publique sur l’évaluation des risques pour la santé humaine, l’autorité européenne de sécurité des aliments a décidé de réduire par 10 la DJA.</w:t>
      </w:r>
    </w:p>
    <w:p w:rsidR="0084379D" w:rsidRPr="0084379D" w:rsidRDefault="0084379D" w:rsidP="0084379D">
      <w:pPr>
        <w:shd w:val="clear" w:color="auto" w:fill="FFFFFF"/>
        <w:spacing w:before="100" w:beforeAutospacing="1" w:after="100" w:afterAutospacing="1" w:line="240" w:lineRule="auto"/>
        <w:rPr>
          <w:rFonts w:ascii="Tahoma" w:eastAsia="Times New Roman" w:hAnsi="Tahoma" w:cs="Tahoma"/>
          <w:color w:val="333333"/>
          <w:sz w:val="20"/>
          <w:szCs w:val="20"/>
          <w:lang w:eastAsia="fr-FR"/>
        </w:rPr>
      </w:pPr>
      <w:r w:rsidRPr="0084379D">
        <w:rPr>
          <w:rFonts w:ascii="Tahoma" w:eastAsia="Times New Roman" w:hAnsi="Tahoma" w:cs="Tahoma"/>
          <w:color w:val="333333"/>
          <w:sz w:val="20"/>
          <w:szCs w:val="20"/>
          <w:lang w:eastAsia="fr-FR"/>
        </w:rPr>
        <w:t xml:space="preserve">Tout en soulignant que l’évaluation des risques associés au BPA est « </w:t>
      </w:r>
      <w:r w:rsidRPr="0084379D">
        <w:rPr>
          <w:rFonts w:ascii="Tahoma" w:eastAsia="Times New Roman" w:hAnsi="Tahoma" w:cs="Tahoma"/>
          <w:i/>
          <w:iCs/>
          <w:color w:val="333333"/>
          <w:sz w:val="20"/>
          <w:szCs w:val="20"/>
          <w:lang w:eastAsia="fr-FR"/>
        </w:rPr>
        <w:t>extrêmement complexe</w:t>
      </w:r>
      <w:r w:rsidRPr="0084379D">
        <w:rPr>
          <w:rFonts w:ascii="Tahoma" w:eastAsia="Times New Roman" w:hAnsi="Tahoma" w:cs="Tahoma"/>
          <w:color w:val="333333"/>
          <w:sz w:val="20"/>
          <w:szCs w:val="20"/>
          <w:lang w:eastAsia="fr-FR"/>
        </w:rPr>
        <w:t xml:space="preserve"> », </w:t>
      </w:r>
      <w:proofErr w:type="spellStart"/>
      <w:r w:rsidRPr="0084379D">
        <w:rPr>
          <w:rFonts w:ascii="Tahoma" w:eastAsia="Times New Roman" w:hAnsi="Tahoma" w:cs="Tahoma"/>
          <w:color w:val="333333"/>
          <w:sz w:val="20"/>
          <w:szCs w:val="20"/>
          <w:lang w:eastAsia="fr-FR"/>
        </w:rPr>
        <w:t>Iona</w:t>
      </w:r>
      <w:proofErr w:type="spellEnd"/>
      <w:r w:rsidRPr="0084379D">
        <w:rPr>
          <w:rFonts w:ascii="Tahoma" w:eastAsia="Times New Roman" w:hAnsi="Tahoma" w:cs="Tahoma"/>
          <w:color w:val="333333"/>
          <w:sz w:val="20"/>
          <w:szCs w:val="20"/>
          <w:lang w:eastAsia="fr-FR"/>
        </w:rPr>
        <w:t xml:space="preserve"> Pratt, présidente du groupe scientifique de l’EFSA joue le principe de précaution eu regard des « </w:t>
      </w:r>
      <w:r w:rsidRPr="0084379D">
        <w:rPr>
          <w:rFonts w:ascii="Tahoma" w:eastAsia="Times New Roman" w:hAnsi="Tahoma" w:cs="Tahoma"/>
          <w:i/>
          <w:iCs/>
          <w:color w:val="333333"/>
          <w:sz w:val="20"/>
          <w:szCs w:val="20"/>
          <w:lang w:eastAsia="fr-FR"/>
        </w:rPr>
        <w:t>incertitudes qui persistent sur les risques posés par cette substance</w:t>
      </w:r>
      <w:r w:rsidRPr="0084379D">
        <w:rPr>
          <w:rFonts w:ascii="Tahoma" w:eastAsia="Times New Roman" w:hAnsi="Tahoma" w:cs="Tahoma"/>
          <w:color w:val="333333"/>
          <w:sz w:val="20"/>
          <w:szCs w:val="20"/>
          <w:lang w:eastAsia="fr-FR"/>
        </w:rPr>
        <w:t xml:space="preserve"> ». Les experts de l’EFSA recommandent désormais que la dose journalière tolérable (DJT) pour le BPA soit fortement abaissée, de son niveau actuel de 50 µg/kg de poids corporel/jour (ou 0,05 mg/kg/pc/jour) à 5 µg/kg pc/jour </w:t>
      </w:r>
      <w:bookmarkStart w:id="0" w:name="_GoBack"/>
      <w:bookmarkEnd w:id="0"/>
      <w:r w:rsidRPr="0084379D">
        <w:rPr>
          <w:rFonts w:ascii="Tahoma" w:eastAsia="Times New Roman" w:hAnsi="Tahoma" w:cs="Tahoma"/>
          <w:color w:val="333333"/>
          <w:sz w:val="20"/>
          <w:szCs w:val="20"/>
          <w:lang w:eastAsia="fr-FR"/>
        </w:rPr>
        <w:t>(0.005 mg/kg/pc/jour), et qu’elle soit établie sur une base provisoire.</w:t>
      </w:r>
    </w:p>
    <w:p w:rsidR="0084379D" w:rsidRPr="0084379D" w:rsidRDefault="0084379D" w:rsidP="0084379D">
      <w:pPr>
        <w:shd w:val="clear" w:color="auto" w:fill="FFFFFF"/>
        <w:spacing w:before="100" w:beforeAutospacing="1" w:after="100" w:afterAutospacing="1" w:line="240" w:lineRule="auto"/>
        <w:rPr>
          <w:rFonts w:ascii="Tahoma" w:eastAsia="Times New Roman" w:hAnsi="Tahoma" w:cs="Tahoma"/>
          <w:color w:val="333333"/>
          <w:sz w:val="20"/>
          <w:szCs w:val="20"/>
          <w:lang w:eastAsia="fr-FR"/>
        </w:rPr>
      </w:pPr>
      <w:r w:rsidRPr="0084379D">
        <w:rPr>
          <w:rFonts w:ascii="Tahoma" w:eastAsia="Times New Roman" w:hAnsi="Tahoma" w:cs="Tahoma"/>
          <w:color w:val="333333"/>
          <w:sz w:val="20"/>
          <w:szCs w:val="20"/>
          <w:lang w:eastAsia="fr-FR"/>
        </w:rPr>
        <w:t xml:space="preserve">« </w:t>
      </w:r>
      <w:r w:rsidRPr="0084379D">
        <w:rPr>
          <w:rFonts w:ascii="Tahoma" w:eastAsia="Times New Roman" w:hAnsi="Tahoma" w:cs="Tahoma"/>
          <w:i/>
          <w:iCs/>
          <w:color w:val="333333"/>
          <w:sz w:val="20"/>
          <w:szCs w:val="20"/>
          <w:lang w:eastAsia="fr-FR"/>
        </w:rPr>
        <w:t>Nos experts ont identifié des dangers pour la santé associés à l’exposition au BPA. Cependant, nous estimons que le risque pour la santé humaine est faible parce que l’exposition des consommateurs au BPA est inférieure à la DJT provisoire (DJT-p)</w:t>
      </w:r>
      <w:r w:rsidRPr="0084379D">
        <w:rPr>
          <w:rFonts w:ascii="Tahoma" w:eastAsia="Times New Roman" w:hAnsi="Tahoma" w:cs="Tahoma"/>
          <w:color w:val="333333"/>
          <w:sz w:val="20"/>
          <w:szCs w:val="20"/>
          <w:lang w:eastAsia="fr-FR"/>
        </w:rPr>
        <w:t xml:space="preserve"> » précise la responsable de l’EFSA.</w:t>
      </w:r>
    </w:p>
    <w:p w:rsidR="0084379D" w:rsidRPr="0084379D" w:rsidRDefault="0084379D" w:rsidP="0084379D">
      <w:pPr>
        <w:shd w:val="clear" w:color="auto" w:fill="FFFFFF"/>
        <w:spacing w:before="100" w:beforeAutospacing="1" w:after="100" w:afterAutospacing="1" w:line="240" w:lineRule="auto"/>
        <w:rPr>
          <w:rFonts w:ascii="Tahoma" w:eastAsia="Times New Roman" w:hAnsi="Tahoma" w:cs="Tahoma"/>
          <w:color w:val="333333"/>
          <w:sz w:val="20"/>
          <w:szCs w:val="20"/>
          <w:lang w:eastAsia="fr-FR"/>
        </w:rPr>
      </w:pPr>
      <w:r w:rsidRPr="0084379D">
        <w:rPr>
          <w:rFonts w:ascii="Tahoma" w:eastAsia="Times New Roman" w:hAnsi="Tahoma" w:cs="Tahoma"/>
          <w:b/>
          <w:bCs/>
          <w:color w:val="333333"/>
          <w:sz w:val="27"/>
          <w:szCs w:val="27"/>
          <w:lang w:eastAsia="fr-FR"/>
        </w:rPr>
        <w:t xml:space="preserve">Risque sanitaire « </w:t>
      </w:r>
      <w:r w:rsidRPr="0084379D">
        <w:rPr>
          <w:rFonts w:ascii="Tahoma" w:eastAsia="Times New Roman" w:hAnsi="Tahoma" w:cs="Tahoma"/>
          <w:b/>
          <w:bCs/>
          <w:i/>
          <w:iCs/>
          <w:color w:val="333333"/>
          <w:sz w:val="27"/>
          <w:szCs w:val="27"/>
          <w:lang w:eastAsia="fr-FR"/>
        </w:rPr>
        <w:t>faible</w:t>
      </w:r>
      <w:r w:rsidRPr="0084379D">
        <w:rPr>
          <w:rFonts w:ascii="Tahoma" w:eastAsia="Times New Roman" w:hAnsi="Tahoma" w:cs="Tahoma"/>
          <w:b/>
          <w:bCs/>
          <w:color w:val="333333"/>
          <w:sz w:val="27"/>
          <w:szCs w:val="27"/>
          <w:lang w:eastAsia="fr-FR"/>
        </w:rPr>
        <w:t xml:space="preserve"> »</w:t>
      </w:r>
    </w:p>
    <w:p w:rsidR="0084379D" w:rsidRPr="0084379D" w:rsidRDefault="0084379D" w:rsidP="0084379D">
      <w:pPr>
        <w:shd w:val="clear" w:color="auto" w:fill="FFFFFF"/>
        <w:spacing w:before="100" w:beforeAutospacing="1" w:after="100" w:afterAutospacing="1" w:line="240" w:lineRule="auto"/>
        <w:rPr>
          <w:rFonts w:ascii="Tahoma" w:eastAsia="Times New Roman" w:hAnsi="Tahoma" w:cs="Tahoma"/>
          <w:color w:val="333333"/>
          <w:sz w:val="20"/>
          <w:szCs w:val="20"/>
          <w:lang w:eastAsia="fr-FR"/>
        </w:rPr>
      </w:pPr>
      <w:r w:rsidRPr="0084379D">
        <w:rPr>
          <w:rFonts w:ascii="Tahoma" w:eastAsia="Times New Roman" w:hAnsi="Tahoma" w:cs="Tahoma"/>
          <w:color w:val="333333"/>
          <w:sz w:val="20"/>
          <w:szCs w:val="20"/>
          <w:lang w:eastAsia="fr-FR"/>
        </w:rPr>
        <w:t xml:space="preserve">L’EFSA indique que le risque sanitaire pour tous les groupes de population est « </w:t>
      </w:r>
      <w:r w:rsidRPr="0084379D">
        <w:rPr>
          <w:rFonts w:ascii="Tahoma" w:eastAsia="Times New Roman" w:hAnsi="Tahoma" w:cs="Tahoma"/>
          <w:i/>
          <w:iCs/>
          <w:color w:val="333333"/>
          <w:sz w:val="20"/>
          <w:szCs w:val="20"/>
          <w:lang w:eastAsia="fr-FR"/>
        </w:rPr>
        <w:t>faible</w:t>
      </w:r>
      <w:r w:rsidRPr="0084379D">
        <w:rPr>
          <w:rFonts w:ascii="Tahoma" w:eastAsia="Times New Roman" w:hAnsi="Tahoma" w:cs="Tahoma"/>
          <w:color w:val="333333"/>
          <w:sz w:val="20"/>
          <w:szCs w:val="20"/>
          <w:lang w:eastAsia="fr-FR"/>
        </w:rPr>
        <w:t xml:space="preserve"> » y compris pour les fœtus, les nourrissons, les jeunes enfants et les adultes. Les estimations les plus élevées d’exposition combinée au BPA par voie orale et non-orale sont de 3 à 5 fois plus faibles que la DJT-p proposée, en fonction du groupe d’âge. Pour tous les groupes de population, « </w:t>
      </w:r>
      <w:r w:rsidRPr="0084379D">
        <w:rPr>
          <w:rFonts w:ascii="Tahoma" w:eastAsia="Times New Roman" w:hAnsi="Tahoma" w:cs="Tahoma"/>
          <w:i/>
          <w:iCs/>
          <w:color w:val="333333"/>
          <w:sz w:val="20"/>
          <w:szCs w:val="20"/>
          <w:lang w:eastAsia="fr-FR"/>
        </w:rPr>
        <w:t>l’exposition orale est, à elle seule, plus de 5 fois inférieure à la DJT-p proposée</w:t>
      </w:r>
      <w:r w:rsidRPr="0084379D">
        <w:rPr>
          <w:rFonts w:ascii="Tahoma" w:eastAsia="Times New Roman" w:hAnsi="Tahoma" w:cs="Tahoma"/>
          <w:color w:val="333333"/>
          <w:sz w:val="20"/>
          <w:szCs w:val="20"/>
          <w:lang w:eastAsia="fr-FR"/>
        </w:rPr>
        <w:t xml:space="preserve"> » affirment les experts de l’autorité européenne.</w:t>
      </w:r>
    </w:p>
    <w:p w:rsidR="0084379D" w:rsidRPr="0084379D" w:rsidRDefault="0084379D" w:rsidP="0084379D">
      <w:pPr>
        <w:shd w:val="clear" w:color="auto" w:fill="FFFFFF"/>
        <w:spacing w:before="100" w:beforeAutospacing="1" w:after="100" w:afterAutospacing="1" w:line="240" w:lineRule="auto"/>
        <w:rPr>
          <w:rFonts w:ascii="Tahoma" w:eastAsia="Times New Roman" w:hAnsi="Tahoma" w:cs="Tahoma"/>
          <w:color w:val="333333"/>
          <w:sz w:val="20"/>
          <w:szCs w:val="20"/>
          <w:lang w:eastAsia="fr-FR"/>
        </w:rPr>
      </w:pPr>
      <w:r w:rsidRPr="0084379D">
        <w:rPr>
          <w:rFonts w:ascii="Tahoma" w:eastAsia="Times New Roman" w:hAnsi="Tahoma" w:cs="Tahoma"/>
          <w:color w:val="333333"/>
          <w:sz w:val="20"/>
          <w:szCs w:val="20"/>
          <w:lang w:eastAsia="fr-FR"/>
        </w:rPr>
        <w:t xml:space="preserve">Malgré des incertitudes sur le niveau de dose acceptable, l’EFSA conclut clairement que « </w:t>
      </w:r>
      <w:r w:rsidRPr="0084379D">
        <w:rPr>
          <w:rFonts w:ascii="Tahoma" w:eastAsia="Times New Roman" w:hAnsi="Tahoma" w:cs="Tahoma"/>
          <w:i/>
          <w:iCs/>
          <w:color w:val="333333"/>
          <w:sz w:val="20"/>
          <w:szCs w:val="20"/>
          <w:lang w:eastAsia="fr-FR"/>
        </w:rPr>
        <w:t>l’exposition au BPA est susceptible d’avoir des effets défavorables sur les reins et le foie, ainsi que des effets sur la glande mammaire</w:t>
      </w:r>
      <w:r w:rsidRPr="0084379D">
        <w:rPr>
          <w:rFonts w:ascii="Tahoma" w:eastAsia="Times New Roman" w:hAnsi="Tahoma" w:cs="Tahoma"/>
          <w:color w:val="333333"/>
          <w:sz w:val="20"/>
          <w:szCs w:val="20"/>
          <w:lang w:eastAsia="fr-FR"/>
        </w:rPr>
        <w:t xml:space="preserve"> ». Si le Réseau Environnement Santé (RES) prend acte de la décision de l’EFSA d’abaisser la DJA d’un facteur 10, l’association qui lutte notamment contre les risques du bisphénol, dénonce une expertise qui ne tient pas compte de la réalité des données scientifiques.</w:t>
      </w:r>
    </w:p>
    <w:p w:rsidR="0084379D" w:rsidRPr="0084379D" w:rsidRDefault="0084379D" w:rsidP="0084379D">
      <w:pPr>
        <w:shd w:val="clear" w:color="auto" w:fill="FFFFFF"/>
        <w:spacing w:before="100" w:beforeAutospacing="1" w:after="100" w:afterAutospacing="1" w:line="240" w:lineRule="auto"/>
        <w:rPr>
          <w:rFonts w:ascii="Tahoma" w:eastAsia="Times New Roman" w:hAnsi="Tahoma" w:cs="Tahoma"/>
          <w:color w:val="333333"/>
          <w:sz w:val="20"/>
          <w:szCs w:val="20"/>
          <w:lang w:eastAsia="fr-FR"/>
        </w:rPr>
      </w:pPr>
      <w:r w:rsidRPr="0084379D">
        <w:rPr>
          <w:rFonts w:ascii="Tahoma" w:eastAsia="Times New Roman" w:hAnsi="Tahoma" w:cs="Tahoma"/>
          <w:color w:val="333333"/>
          <w:sz w:val="20"/>
          <w:szCs w:val="20"/>
          <w:lang w:eastAsia="fr-FR"/>
        </w:rPr>
        <w:t>Le bisphénol A est employé comme monomère dans la fabrication de plastique polycarbonate utilisé dans des articles tels que des bouteilles réutilisables ou des conteneurs de stockage, ainsi que dans le revêtement en résine époxyde de certaines boîtes de conserves alimentaires et cannettes.</w:t>
      </w:r>
    </w:p>
    <w:p w:rsidR="0084379D" w:rsidRPr="0084379D" w:rsidRDefault="007908C8" w:rsidP="0084379D">
      <w:pPr>
        <w:shd w:val="clear" w:color="auto" w:fill="FFFFFF"/>
        <w:spacing w:after="0" w:line="240" w:lineRule="auto"/>
        <w:rPr>
          <w:rFonts w:ascii="Tahoma" w:eastAsia="Times New Roman" w:hAnsi="Tahoma" w:cs="Tahoma"/>
          <w:color w:val="333333"/>
          <w:sz w:val="20"/>
          <w:szCs w:val="20"/>
          <w:lang w:eastAsia="fr-FR"/>
        </w:rPr>
      </w:pPr>
      <w:hyperlink r:id="rId7" w:history="1">
        <w:r w:rsidR="0084379D" w:rsidRPr="0084379D">
          <w:rPr>
            <w:rFonts w:ascii="Tahoma" w:eastAsia="Times New Roman" w:hAnsi="Tahoma" w:cs="Tahoma"/>
            <w:vanish/>
            <w:color w:val="525252"/>
            <w:sz w:val="20"/>
            <w:szCs w:val="20"/>
            <w:lang w:eastAsia="fr-FR"/>
          </w:rPr>
          <w:t>alimentation</w:t>
        </w:r>
      </w:hyperlink>
      <w:r w:rsidR="0084379D" w:rsidRPr="0084379D">
        <w:rPr>
          <w:rFonts w:ascii="Tahoma" w:eastAsia="Times New Roman" w:hAnsi="Tahoma" w:cs="Tahoma"/>
          <w:vanish/>
          <w:color w:val="333333"/>
          <w:sz w:val="20"/>
          <w:szCs w:val="20"/>
          <w:lang w:eastAsia="fr-FR"/>
        </w:rPr>
        <w:t xml:space="preserve"> </w:t>
      </w:r>
      <w:hyperlink r:id="rId8" w:history="1">
        <w:r w:rsidR="0084379D" w:rsidRPr="0084379D">
          <w:rPr>
            <w:rFonts w:ascii="Tahoma" w:eastAsia="Times New Roman" w:hAnsi="Tahoma" w:cs="Tahoma"/>
            <w:vanish/>
            <w:color w:val="525252"/>
            <w:sz w:val="20"/>
            <w:szCs w:val="20"/>
            <w:lang w:eastAsia="fr-FR"/>
          </w:rPr>
          <w:t>bisphénol A</w:t>
        </w:r>
      </w:hyperlink>
      <w:r w:rsidR="0084379D" w:rsidRPr="0084379D">
        <w:rPr>
          <w:rFonts w:ascii="Tahoma" w:eastAsia="Times New Roman" w:hAnsi="Tahoma" w:cs="Tahoma"/>
          <w:vanish/>
          <w:color w:val="333333"/>
          <w:sz w:val="20"/>
          <w:szCs w:val="20"/>
          <w:lang w:eastAsia="fr-FR"/>
        </w:rPr>
        <w:t xml:space="preserve"> </w:t>
      </w:r>
      <w:hyperlink r:id="rId9" w:history="1">
        <w:r w:rsidR="0084379D" w:rsidRPr="0084379D">
          <w:rPr>
            <w:rFonts w:ascii="Tahoma" w:eastAsia="Times New Roman" w:hAnsi="Tahoma" w:cs="Tahoma"/>
            <w:vanish/>
            <w:color w:val="525252"/>
            <w:sz w:val="20"/>
            <w:szCs w:val="20"/>
            <w:lang w:eastAsia="fr-FR"/>
          </w:rPr>
          <w:t>risques</w:t>
        </w:r>
      </w:hyperlink>
      <w:r w:rsidR="0084379D" w:rsidRPr="0084379D">
        <w:rPr>
          <w:rFonts w:ascii="Tahoma" w:eastAsia="Times New Roman" w:hAnsi="Tahoma" w:cs="Tahoma"/>
          <w:vanish/>
          <w:color w:val="333333"/>
          <w:sz w:val="20"/>
          <w:szCs w:val="20"/>
          <w:lang w:eastAsia="fr-FR"/>
        </w:rPr>
        <w:t xml:space="preserve"> </w:t>
      </w:r>
      <w:hyperlink r:id="rId10" w:history="1">
        <w:r w:rsidR="0084379D" w:rsidRPr="0084379D">
          <w:rPr>
            <w:rFonts w:ascii="Tahoma" w:eastAsia="Times New Roman" w:hAnsi="Tahoma" w:cs="Tahoma"/>
            <w:vanish/>
            <w:color w:val="525252"/>
            <w:sz w:val="20"/>
            <w:szCs w:val="20"/>
            <w:lang w:eastAsia="fr-FR"/>
          </w:rPr>
          <w:t>santé</w:t>
        </w:r>
      </w:hyperlink>
      <w:r w:rsidR="0084379D" w:rsidRPr="0084379D">
        <w:rPr>
          <w:rFonts w:ascii="Tahoma" w:eastAsia="Times New Roman" w:hAnsi="Tahoma" w:cs="Tahoma"/>
          <w:color w:val="333333"/>
          <w:sz w:val="20"/>
          <w:szCs w:val="20"/>
          <w:lang w:eastAsia="fr-FR"/>
        </w:rPr>
        <w:t xml:space="preserve"> </w:t>
      </w:r>
      <w:r w:rsidR="0084379D" w:rsidRPr="0084379D">
        <w:rPr>
          <w:rFonts w:ascii="Tahoma" w:eastAsia="Times New Roman" w:hAnsi="Tahoma" w:cs="Tahoma"/>
          <w:vanish/>
          <w:color w:val="333333"/>
          <w:sz w:val="20"/>
          <w:szCs w:val="20"/>
          <w:lang w:eastAsia="fr-FR"/>
        </w:rPr>
        <w:t>2014-01-20</w:t>
      </w:r>
      <w:r w:rsidR="0084379D" w:rsidRPr="0084379D">
        <w:rPr>
          <w:rFonts w:ascii="Tahoma" w:eastAsia="Times New Roman" w:hAnsi="Tahoma" w:cs="Tahoma"/>
          <w:color w:val="333333"/>
          <w:sz w:val="20"/>
          <w:szCs w:val="20"/>
          <w:lang w:eastAsia="fr-FR"/>
        </w:rPr>
        <w:t xml:space="preserve"> </w:t>
      </w:r>
      <w:r>
        <w:rPr>
          <w:rFonts w:ascii="Tahoma" w:eastAsia="Times New Roman" w:hAnsi="Tahoma" w:cs="Tahoma"/>
          <w:color w:val="333333"/>
          <w:sz w:val="20"/>
          <w:szCs w:val="20"/>
          <w:lang w:eastAsia="fr-FR"/>
        </w:rPr>
        <w:t>http://enviro2b.com/2014/01/20/bisphenol-leurope-baisse-la-dose-journaliere-amissible/</w:t>
      </w:r>
    </w:p>
    <w:p w:rsidR="0084379D" w:rsidRPr="0084379D" w:rsidRDefault="007908C8" w:rsidP="0084379D">
      <w:pPr>
        <w:shd w:val="clear" w:color="auto" w:fill="FFFFFF"/>
        <w:spacing w:after="0" w:line="240" w:lineRule="auto"/>
        <w:rPr>
          <w:rFonts w:ascii="Tahoma" w:eastAsia="Times New Roman" w:hAnsi="Tahoma" w:cs="Tahoma"/>
          <w:vanish/>
          <w:color w:val="333333"/>
          <w:sz w:val="20"/>
          <w:szCs w:val="20"/>
          <w:lang w:eastAsia="fr-FR"/>
        </w:rPr>
      </w:pPr>
      <w:hyperlink r:id="rId11" w:tooltip="Articles par Rédaction" w:history="1">
        <w:r w:rsidR="0084379D" w:rsidRPr="0084379D">
          <w:rPr>
            <w:rFonts w:ascii="Tahoma" w:eastAsia="Times New Roman" w:hAnsi="Tahoma" w:cs="Tahoma"/>
            <w:b/>
            <w:bCs/>
            <w:vanish/>
            <w:color w:val="525252"/>
            <w:sz w:val="20"/>
            <w:szCs w:val="20"/>
            <w:lang w:eastAsia="fr-FR"/>
          </w:rPr>
          <w:t>Rédaction</w:t>
        </w:r>
      </w:hyperlink>
    </w:p>
    <w:sectPr w:rsidR="0084379D" w:rsidRPr="00843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4AA6"/>
    <w:multiLevelType w:val="multilevel"/>
    <w:tmpl w:val="F18A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9D"/>
    <w:rsid w:val="007908C8"/>
    <w:rsid w:val="0084379D"/>
    <w:rsid w:val="00FE6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379D"/>
    <w:rPr>
      <w:strike w:val="0"/>
      <w:dstrike w:val="0"/>
      <w:color w:val="525252"/>
      <w:u w:val="none"/>
      <w:effect w:val="none"/>
    </w:rPr>
  </w:style>
  <w:style w:type="character" w:styleId="Accentuation">
    <w:name w:val="Emphasis"/>
    <w:basedOn w:val="Policepardfaut"/>
    <w:uiPriority w:val="20"/>
    <w:qFormat/>
    <w:rsid w:val="0084379D"/>
    <w:rPr>
      <w:i/>
      <w:iCs/>
    </w:rPr>
  </w:style>
  <w:style w:type="character" w:styleId="lev">
    <w:name w:val="Strong"/>
    <w:basedOn w:val="Policepardfaut"/>
    <w:uiPriority w:val="22"/>
    <w:qFormat/>
    <w:rsid w:val="0084379D"/>
    <w:rPr>
      <w:b/>
      <w:bCs/>
    </w:rPr>
  </w:style>
  <w:style w:type="character" w:customStyle="1" w:styleId="updated2">
    <w:name w:val="updated2"/>
    <w:basedOn w:val="Policepardfaut"/>
    <w:rsid w:val="0084379D"/>
  </w:style>
  <w:style w:type="character" w:customStyle="1" w:styleId="in-widget">
    <w:name w:val="in-widget"/>
    <w:basedOn w:val="Policepardfaut"/>
    <w:rsid w:val="0084379D"/>
  </w:style>
  <w:style w:type="character" w:customStyle="1" w:styleId="in-right">
    <w:name w:val="in-right"/>
    <w:basedOn w:val="Policepardfaut"/>
    <w:rsid w:val="00843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379D"/>
    <w:rPr>
      <w:strike w:val="0"/>
      <w:dstrike w:val="0"/>
      <w:color w:val="525252"/>
      <w:u w:val="none"/>
      <w:effect w:val="none"/>
    </w:rPr>
  </w:style>
  <w:style w:type="character" w:styleId="Accentuation">
    <w:name w:val="Emphasis"/>
    <w:basedOn w:val="Policepardfaut"/>
    <w:uiPriority w:val="20"/>
    <w:qFormat/>
    <w:rsid w:val="0084379D"/>
    <w:rPr>
      <w:i/>
      <w:iCs/>
    </w:rPr>
  </w:style>
  <w:style w:type="character" w:styleId="lev">
    <w:name w:val="Strong"/>
    <w:basedOn w:val="Policepardfaut"/>
    <w:uiPriority w:val="22"/>
    <w:qFormat/>
    <w:rsid w:val="0084379D"/>
    <w:rPr>
      <w:b/>
      <w:bCs/>
    </w:rPr>
  </w:style>
  <w:style w:type="character" w:customStyle="1" w:styleId="updated2">
    <w:name w:val="updated2"/>
    <w:basedOn w:val="Policepardfaut"/>
    <w:rsid w:val="0084379D"/>
  </w:style>
  <w:style w:type="character" w:customStyle="1" w:styleId="in-widget">
    <w:name w:val="in-widget"/>
    <w:basedOn w:val="Policepardfaut"/>
    <w:rsid w:val="0084379D"/>
  </w:style>
  <w:style w:type="character" w:customStyle="1" w:styleId="in-right">
    <w:name w:val="in-right"/>
    <w:basedOn w:val="Policepardfaut"/>
    <w:rsid w:val="0084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82103">
      <w:bodyDiv w:val="1"/>
      <w:marLeft w:val="0"/>
      <w:marRight w:val="0"/>
      <w:marTop w:val="0"/>
      <w:marBottom w:val="0"/>
      <w:divBdr>
        <w:top w:val="none" w:sz="0" w:space="0" w:color="auto"/>
        <w:left w:val="none" w:sz="0" w:space="0" w:color="auto"/>
        <w:bottom w:val="none" w:sz="0" w:space="0" w:color="auto"/>
        <w:right w:val="none" w:sz="0" w:space="0" w:color="auto"/>
      </w:divBdr>
      <w:divsChild>
        <w:div w:id="1897398604">
          <w:marLeft w:val="0"/>
          <w:marRight w:val="0"/>
          <w:marTop w:val="0"/>
          <w:marBottom w:val="0"/>
          <w:divBdr>
            <w:top w:val="none" w:sz="0" w:space="0" w:color="auto"/>
            <w:left w:val="none" w:sz="0" w:space="0" w:color="auto"/>
            <w:bottom w:val="none" w:sz="0" w:space="0" w:color="auto"/>
            <w:right w:val="none" w:sz="0" w:space="0" w:color="auto"/>
          </w:divBdr>
          <w:divsChild>
            <w:div w:id="828668175">
              <w:marLeft w:val="0"/>
              <w:marRight w:val="0"/>
              <w:marTop w:val="0"/>
              <w:marBottom w:val="0"/>
              <w:divBdr>
                <w:top w:val="none" w:sz="0" w:space="0" w:color="auto"/>
                <w:left w:val="none" w:sz="0" w:space="0" w:color="auto"/>
                <w:bottom w:val="none" w:sz="0" w:space="0" w:color="auto"/>
                <w:right w:val="none" w:sz="0" w:space="0" w:color="auto"/>
              </w:divBdr>
              <w:divsChild>
                <w:div w:id="1060788288">
                  <w:marLeft w:val="0"/>
                  <w:marRight w:val="0"/>
                  <w:marTop w:val="300"/>
                  <w:marBottom w:val="375"/>
                  <w:divBdr>
                    <w:top w:val="none" w:sz="0" w:space="0" w:color="auto"/>
                    <w:left w:val="none" w:sz="0" w:space="0" w:color="auto"/>
                    <w:bottom w:val="none" w:sz="0" w:space="0" w:color="auto"/>
                    <w:right w:val="none" w:sz="0" w:space="0" w:color="auto"/>
                  </w:divBdr>
                  <w:divsChild>
                    <w:div w:id="682248525">
                      <w:marLeft w:val="0"/>
                      <w:marRight w:val="0"/>
                      <w:marTop w:val="0"/>
                      <w:marBottom w:val="0"/>
                      <w:divBdr>
                        <w:top w:val="none" w:sz="0" w:space="0" w:color="auto"/>
                        <w:left w:val="none" w:sz="0" w:space="0" w:color="auto"/>
                        <w:bottom w:val="none" w:sz="0" w:space="0" w:color="auto"/>
                        <w:right w:val="none" w:sz="0" w:space="0" w:color="auto"/>
                      </w:divBdr>
                      <w:divsChild>
                        <w:div w:id="473789522">
                          <w:marLeft w:val="0"/>
                          <w:marRight w:val="0"/>
                          <w:marTop w:val="0"/>
                          <w:marBottom w:val="0"/>
                          <w:divBdr>
                            <w:top w:val="none" w:sz="0" w:space="0" w:color="auto"/>
                            <w:left w:val="none" w:sz="0" w:space="0" w:color="auto"/>
                            <w:bottom w:val="none" w:sz="0" w:space="0" w:color="auto"/>
                            <w:right w:val="none" w:sz="0" w:space="0" w:color="auto"/>
                          </w:divBdr>
                          <w:divsChild>
                            <w:div w:id="1272977410">
                              <w:marLeft w:val="0"/>
                              <w:marRight w:val="0"/>
                              <w:marTop w:val="0"/>
                              <w:marBottom w:val="0"/>
                              <w:divBdr>
                                <w:top w:val="none" w:sz="0" w:space="0" w:color="auto"/>
                                <w:left w:val="none" w:sz="0" w:space="0" w:color="auto"/>
                                <w:bottom w:val="none" w:sz="0" w:space="0" w:color="auto"/>
                                <w:right w:val="none" w:sz="0" w:space="0" w:color="auto"/>
                              </w:divBdr>
                              <w:divsChild>
                                <w:div w:id="1705978000">
                                  <w:marLeft w:val="0"/>
                                  <w:marRight w:val="0"/>
                                  <w:marTop w:val="0"/>
                                  <w:marBottom w:val="0"/>
                                  <w:divBdr>
                                    <w:top w:val="none" w:sz="0" w:space="0" w:color="auto"/>
                                    <w:left w:val="none" w:sz="0" w:space="0" w:color="auto"/>
                                    <w:bottom w:val="none" w:sz="0" w:space="0" w:color="auto"/>
                                    <w:right w:val="none" w:sz="0" w:space="0" w:color="auto"/>
                                  </w:divBdr>
                                </w:div>
                                <w:div w:id="653878302">
                                  <w:marLeft w:val="0"/>
                                  <w:marRight w:val="0"/>
                                  <w:marTop w:val="0"/>
                                  <w:marBottom w:val="0"/>
                                  <w:divBdr>
                                    <w:top w:val="none" w:sz="0" w:space="0" w:color="auto"/>
                                    <w:left w:val="none" w:sz="0" w:space="0" w:color="auto"/>
                                    <w:bottom w:val="none" w:sz="0" w:space="0" w:color="auto"/>
                                    <w:right w:val="none" w:sz="0" w:space="0" w:color="auto"/>
                                  </w:divBdr>
                                </w:div>
                                <w:div w:id="792017546">
                                  <w:marLeft w:val="0"/>
                                  <w:marRight w:val="0"/>
                                  <w:marTop w:val="150"/>
                                  <w:marBottom w:val="0"/>
                                  <w:divBdr>
                                    <w:top w:val="single" w:sz="6" w:space="8" w:color="EAEAEA"/>
                                    <w:left w:val="none" w:sz="0" w:space="0" w:color="auto"/>
                                    <w:bottom w:val="single" w:sz="6" w:space="8" w:color="EAEAEA"/>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2b.com/tag/bisphenol-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nviro2b.com/tag/alimen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2b.com/glossaire/Title/RUZTQQ==/Referer/LzIwMTQvMDEvMjAvYmlzcGhlbm9sLWxldXJvcGUtYmFpc3NlLWxhLWRvc2Utam91cm5hbGllcmUtYWRtaXNzaWJsZS8=/" TargetMode="External"/><Relationship Id="rId11" Type="http://schemas.openxmlformats.org/officeDocument/2006/relationships/hyperlink" Target="http://www.enviro2b.com/author/enviro2b/" TargetMode="External"/><Relationship Id="rId5" Type="http://schemas.openxmlformats.org/officeDocument/2006/relationships/webSettings" Target="webSettings.xml"/><Relationship Id="rId10" Type="http://schemas.openxmlformats.org/officeDocument/2006/relationships/hyperlink" Target="http://www.enviro2b.com/tag/sante/" TargetMode="External"/><Relationship Id="rId4" Type="http://schemas.openxmlformats.org/officeDocument/2006/relationships/settings" Target="settings.xml"/><Relationship Id="rId9" Type="http://schemas.openxmlformats.org/officeDocument/2006/relationships/hyperlink" Target="http://www.enviro2b.com/tag/ris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LE MOING</dc:creator>
  <cp:lastModifiedBy>Arnaud LE MOING</cp:lastModifiedBy>
  <cp:revision>2</cp:revision>
  <cp:lastPrinted>2014-01-20T12:18:00Z</cp:lastPrinted>
  <dcterms:created xsi:type="dcterms:W3CDTF">2014-01-20T12:17:00Z</dcterms:created>
  <dcterms:modified xsi:type="dcterms:W3CDTF">2014-01-20T14:45:00Z</dcterms:modified>
</cp:coreProperties>
</file>